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Default="00B628D4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D4ACB" w:rsidRPr="00BD4ACB" w:rsidRDefault="00BD4ACB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D4ACB" w:rsidRPr="00326CDA" w:rsidRDefault="00BD4ACB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D4ACB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="Times New Roman" w:hAnsi="Times New Roman"/>
          <w:bCs/>
        </w:rPr>
      </w:pPr>
      <w:r w:rsidRPr="00BD4ACB">
        <w:rPr>
          <w:rFonts w:ascii="Times New Roman" w:hAnsi="Times New Roman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>
        <w:rPr>
          <w:rFonts w:ascii="Times New Roman" w:hAnsi="Times New Roman"/>
          <w:bCs/>
        </w:rPr>
        <w:t xml:space="preserve">Rozporządzenia Rady Ministrów </w:t>
      </w:r>
      <w:r w:rsidR="009548FC">
        <w:rPr>
          <w:rFonts w:ascii="Times New Roman" w:hAnsi="Times New Roman"/>
          <w:bCs/>
          <w:kern w:val="0"/>
        </w:rPr>
        <w:t>z dnia 19 lutego 2021 r. (Dz. U. z 2021 r., poz. 578)</w:t>
      </w:r>
      <w:r w:rsidR="00BD4ACB">
        <w:rPr>
          <w:rFonts w:ascii="Times New Roman" w:hAnsi="Times New Roman"/>
          <w:bCs/>
        </w:rPr>
        <w:br/>
        <w:t>w sprawie szczegółowego sposobu gospodarowania składnikami rzeczowymi majątku ruchomego Skarbu Państwa.</w:t>
      </w:r>
    </w:p>
    <w:p w:rsidR="00BD4ACB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</w:pPr>
    </w:p>
    <w:p w:rsidR="00326CDA" w:rsidRPr="00BD4ACB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CB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CB" w:rsidRPr="00326CDA" w:rsidRDefault="00BD4ACB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BD4ACB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niepotrzebne skreślić</w:t>
      </w:r>
    </w:p>
    <w:sectPr w:rsidR="00326CDA" w:rsidRPr="00BD4ACB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2F70E8"/>
    <w:rsid w:val="00326CDA"/>
    <w:rsid w:val="007619DC"/>
    <w:rsid w:val="008465AF"/>
    <w:rsid w:val="009548FC"/>
    <w:rsid w:val="00B628D4"/>
    <w:rsid w:val="00BD4ACB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Dorobek Iwona 2</cp:lastModifiedBy>
  <cp:revision>2</cp:revision>
  <cp:lastPrinted>2021-06-28T10:30:00Z</cp:lastPrinted>
  <dcterms:created xsi:type="dcterms:W3CDTF">2021-07-30T06:00:00Z</dcterms:created>
  <dcterms:modified xsi:type="dcterms:W3CDTF">2021-07-30T06:00:00Z</dcterms:modified>
</cp:coreProperties>
</file>